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5" w:rsidRPr="00D20E83" w:rsidRDefault="00EF0965" w:rsidP="00EF0965">
      <w:pPr>
        <w:tabs>
          <w:tab w:val="left" w:pos="10065"/>
        </w:tabs>
        <w:ind w:left="5954" w:firstLine="0"/>
        <w:jc w:val="right"/>
        <w:rPr>
          <w:rFonts w:eastAsia="Calibri"/>
          <w:sz w:val="28"/>
          <w:szCs w:val="24"/>
          <w:lang w:val="ro-RO"/>
        </w:rPr>
      </w:pPr>
      <w:r w:rsidRPr="00D20E83">
        <w:rPr>
          <w:rFonts w:eastAsia="Calibri"/>
          <w:sz w:val="28"/>
          <w:szCs w:val="24"/>
          <w:lang w:val="ro-RO"/>
        </w:rPr>
        <w:t>Anexa nr.1</w:t>
      </w:r>
    </w:p>
    <w:p w:rsidR="00EF0965" w:rsidRPr="00D20E83" w:rsidRDefault="00EF0965" w:rsidP="00EF0965">
      <w:pPr>
        <w:tabs>
          <w:tab w:val="left" w:pos="10065"/>
        </w:tabs>
        <w:jc w:val="right"/>
        <w:rPr>
          <w:rFonts w:eastAsia="Calibri"/>
          <w:sz w:val="28"/>
          <w:szCs w:val="24"/>
          <w:lang w:val="ro-RO"/>
        </w:rPr>
      </w:pPr>
      <w:r>
        <w:rPr>
          <w:rFonts w:eastAsia="Calibri"/>
          <w:sz w:val="28"/>
          <w:szCs w:val="24"/>
          <w:lang w:val="ro-RO"/>
        </w:rPr>
        <w:t>la Hotărî</w:t>
      </w:r>
      <w:r w:rsidRPr="00D20E83">
        <w:rPr>
          <w:rFonts w:eastAsia="Calibri"/>
          <w:sz w:val="28"/>
          <w:szCs w:val="24"/>
          <w:lang w:val="ro-RO"/>
        </w:rPr>
        <w:t>rea Guvernului nr.</w:t>
      </w:r>
      <w:r>
        <w:rPr>
          <w:rFonts w:eastAsia="Calibri"/>
          <w:sz w:val="28"/>
          <w:szCs w:val="24"/>
          <w:lang w:val="ro-RO"/>
        </w:rPr>
        <w:t>687</w:t>
      </w:r>
    </w:p>
    <w:p w:rsidR="00EF0965" w:rsidRPr="00D20E83" w:rsidRDefault="00EF0965" w:rsidP="00EF0965">
      <w:pPr>
        <w:tabs>
          <w:tab w:val="left" w:pos="10065"/>
        </w:tabs>
        <w:ind w:left="5954" w:firstLine="0"/>
        <w:jc w:val="right"/>
        <w:rPr>
          <w:rFonts w:eastAsia="Calibri"/>
          <w:sz w:val="28"/>
          <w:szCs w:val="24"/>
          <w:lang w:val="ro-RO"/>
        </w:rPr>
      </w:pPr>
      <w:r w:rsidRPr="00D20E83">
        <w:rPr>
          <w:rFonts w:eastAsia="Calibri"/>
          <w:sz w:val="28"/>
          <w:szCs w:val="24"/>
          <w:lang w:val="ro-RO"/>
        </w:rPr>
        <w:t xml:space="preserve">din </w:t>
      </w:r>
      <w:r>
        <w:rPr>
          <w:rFonts w:eastAsia="Calibri"/>
          <w:sz w:val="28"/>
          <w:szCs w:val="24"/>
          <w:lang w:val="ro-RO"/>
        </w:rPr>
        <w:t>11 iulie</w:t>
      </w:r>
      <w:r w:rsidRPr="00D20E83">
        <w:rPr>
          <w:rFonts w:eastAsia="Calibri"/>
          <w:sz w:val="28"/>
          <w:szCs w:val="24"/>
          <w:lang w:val="ro-RO"/>
        </w:rPr>
        <w:t xml:space="preserve"> 2018</w:t>
      </w:r>
    </w:p>
    <w:p w:rsidR="00EF0965" w:rsidRPr="00D20E83" w:rsidRDefault="00EF0965" w:rsidP="00EF0965">
      <w:pPr>
        <w:spacing w:after="200" w:line="276" w:lineRule="auto"/>
        <w:ind w:firstLine="0"/>
        <w:jc w:val="left"/>
        <w:rPr>
          <w:b/>
          <w:bCs/>
          <w:color w:val="000000"/>
          <w:sz w:val="28"/>
          <w:szCs w:val="28"/>
          <w:lang w:val="ro-RO" w:eastAsia="ru-RU"/>
        </w:rPr>
      </w:pPr>
    </w:p>
    <w:p w:rsidR="00EF0965" w:rsidRPr="00D20E83" w:rsidRDefault="00EF0965" w:rsidP="00EF0965">
      <w:pPr>
        <w:tabs>
          <w:tab w:val="left" w:pos="10065"/>
        </w:tabs>
        <w:ind w:firstLine="0"/>
        <w:jc w:val="center"/>
        <w:rPr>
          <w:rFonts w:eastAsia="Calibri"/>
          <w:b/>
          <w:bCs/>
          <w:sz w:val="28"/>
          <w:szCs w:val="24"/>
          <w:lang w:val="ro-RO"/>
        </w:rPr>
      </w:pPr>
      <w:r w:rsidRPr="00D20E83">
        <w:rPr>
          <w:rFonts w:eastAsia="Calibri"/>
          <w:b/>
          <w:bCs/>
          <w:sz w:val="28"/>
          <w:szCs w:val="24"/>
          <w:lang w:val="ro-RO"/>
        </w:rPr>
        <w:t>NOMENCLATORUL</w:t>
      </w:r>
    </w:p>
    <w:p w:rsidR="00EF0965" w:rsidRDefault="00EF0965" w:rsidP="00EF0965">
      <w:pPr>
        <w:tabs>
          <w:tab w:val="left" w:pos="10065"/>
        </w:tabs>
        <w:ind w:firstLine="0"/>
        <w:jc w:val="center"/>
        <w:rPr>
          <w:rFonts w:eastAsia="Calibri"/>
          <w:b/>
          <w:bCs/>
          <w:sz w:val="28"/>
          <w:szCs w:val="24"/>
          <w:lang w:val="ro-RO"/>
        </w:rPr>
      </w:pPr>
      <w:r w:rsidRPr="00D20E83">
        <w:rPr>
          <w:rFonts w:eastAsia="Calibri"/>
          <w:b/>
          <w:bCs/>
          <w:sz w:val="28"/>
          <w:szCs w:val="24"/>
          <w:lang w:val="ro-RO"/>
        </w:rPr>
        <w:t>lucrărilor efectuate şi serviciilor prestate, contra plată,</w:t>
      </w:r>
    </w:p>
    <w:p w:rsidR="00EF0965" w:rsidRDefault="00EF0965" w:rsidP="00EF0965">
      <w:pPr>
        <w:tabs>
          <w:tab w:val="left" w:pos="10065"/>
        </w:tabs>
        <w:ind w:firstLine="0"/>
        <w:jc w:val="center"/>
        <w:rPr>
          <w:rFonts w:eastAsia="Calibri"/>
          <w:b/>
          <w:bCs/>
          <w:sz w:val="28"/>
          <w:szCs w:val="24"/>
          <w:lang w:val="ro-RO"/>
        </w:rPr>
      </w:pPr>
      <w:r>
        <w:rPr>
          <w:rFonts w:eastAsia="Calibri"/>
          <w:b/>
          <w:bCs/>
          <w:sz w:val="28"/>
          <w:szCs w:val="24"/>
          <w:lang w:val="ro-RO"/>
        </w:rPr>
        <w:t>d</w:t>
      </w:r>
      <w:r w:rsidRPr="00D20E83">
        <w:rPr>
          <w:rFonts w:eastAsia="Calibri"/>
          <w:b/>
          <w:bCs/>
          <w:sz w:val="28"/>
          <w:szCs w:val="24"/>
          <w:lang w:val="ro-RO"/>
        </w:rPr>
        <w:t xml:space="preserve">e către </w:t>
      </w:r>
      <w:r>
        <w:rPr>
          <w:rFonts w:eastAsia="Calibri"/>
          <w:b/>
          <w:bCs/>
          <w:sz w:val="28"/>
          <w:szCs w:val="24"/>
          <w:lang w:val="ro-RO"/>
        </w:rPr>
        <w:t>unităţile/instituţiile militare din subordinea</w:t>
      </w:r>
    </w:p>
    <w:p w:rsidR="00EF0965" w:rsidRDefault="00EF0965" w:rsidP="00EF0965">
      <w:pPr>
        <w:tabs>
          <w:tab w:val="left" w:pos="10065"/>
        </w:tabs>
        <w:ind w:firstLine="0"/>
        <w:jc w:val="center"/>
        <w:rPr>
          <w:rFonts w:eastAsia="Calibri"/>
          <w:b/>
          <w:bCs/>
          <w:sz w:val="28"/>
          <w:szCs w:val="24"/>
          <w:lang w:val="ro-RO"/>
        </w:rPr>
      </w:pPr>
      <w:r w:rsidRPr="00D20E83">
        <w:rPr>
          <w:rFonts w:eastAsia="Calibri"/>
          <w:b/>
          <w:bCs/>
          <w:sz w:val="28"/>
          <w:szCs w:val="24"/>
          <w:lang w:val="ro-RO"/>
        </w:rPr>
        <w:t>Ministerul</w:t>
      </w:r>
      <w:r>
        <w:rPr>
          <w:rFonts w:eastAsia="Calibri"/>
          <w:b/>
          <w:bCs/>
          <w:sz w:val="28"/>
          <w:szCs w:val="24"/>
          <w:lang w:val="ro-RO"/>
        </w:rPr>
        <w:t>ui</w:t>
      </w:r>
      <w:r w:rsidRPr="00D20E83">
        <w:rPr>
          <w:rFonts w:eastAsia="Calibri"/>
          <w:b/>
          <w:bCs/>
          <w:sz w:val="28"/>
          <w:szCs w:val="24"/>
          <w:lang w:val="ro-RO"/>
        </w:rPr>
        <w:t xml:space="preserve"> Apărării şi tarifele la acestea</w:t>
      </w:r>
    </w:p>
    <w:p w:rsidR="00EF0965" w:rsidRPr="00D20E83" w:rsidRDefault="00EF0965" w:rsidP="00EF0965">
      <w:pPr>
        <w:tabs>
          <w:tab w:val="left" w:pos="10065"/>
        </w:tabs>
        <w:ind w:left="-567" w:firstLine="141"/>
        <w:jc w:val="center"/>
        <w:rPr>
          <w:rFonts w:eastAsia="Calibri"/>
          <w:b/>
          <w:bCs/>
          <w:sz w:val="28"/>
          <w:szCs w:val="24"/>
          <w:lang w:val="ro-RO"/>
        </w:rPr>
      </w:pPr>
    </w:p>
    <w:tbl>
      <w:tblPr>
        <w:tblStyle w:val="GrilTabel2"/>
        <w:tblW w:w="5309" w:type="pct"/>
        <w:tblInd w:w="-459" w:type="dxa"/>
        <w:tblLook w:val="04A0"/>
      </w:tblPr>
      <w:tblGrid>
        <w:gridCol w:w="700"/>
        <w:gridCol w:w="3384"/>
        <w:gridCol w:w="3201"/>
        <w:gridCol w:w="2528"/>
      </w:tblGrid>
      <w:tr w:rsidR="00EF0965" w:rsidRPr="00CB2814" w:rsidTr="002A4A05">
        <w:trPr>
          <w:trHeight w:val="1114"/>
        </w:trPr>
        <w:tc>
          <w:tcPr>
            <w:tcW w:w="357" w:type="pct"/>
            <w:vAlign w:val="center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24" w:type="pct"/>
            <w:vAlign w:val="center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 xml:space="preserve">Tipul de venituri </w:t>
            </w:r>
            <w:r>
              <w:rPr>
                <w:rFonts w:eastAsia="Calibri"/>
                <w:b/>
                <w:sz w:val="24"/>
                <w:szCs w:val="24"/>
                <w:lang w:val="ro-RO"/>
              </w:rPr>
              <w:t>din</w:t>
            </w: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 xml:space="preserve"> efectuarea lucrărilor </w:t>
            </w:r>
          </w:p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 xml:space="preserve">şi prestarea serviciilor </w:t>
            </w:r>
          </w:p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contra plată</w:t>
            </w:r>
          </w:p>
        </w:tc>
        <w:tc>
          <w:tcPr>
            <w:tcW w:w="1631" w:type="pct"/>
            <w:vAlign w:val="center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hanging="14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Denumirea lucrărilor şi serviciilor</w:t>
            </w:r>
          </w:p>
        </w:tc>
        <w:tc>
          <w:tcPr>
            <w:tcW w:w="1288" w:type="pct"/>
            <w:vAlign w:val="center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8"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Tarifele</w:t>
            </w:r>
          </w:p>
        </w:tc>
      </w:tr>
      <w:tr w:rsidR="00EF0965" w:rsidRPr="00CB2814" w:rsidTr="002A4A05"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32"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12"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32" w:firstLine="0"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b/>
                <w:sz w:val="24"/>
                <w:szCs w:val="24"/>
                <w:lang w:val="ro-RO"/>
              </w:rPr>
              <w:t>4</w:t>
            </w:r>
          </w:p>
        </w:tc>
      </w:tr>
      <w:tr w:rsidR="00EF0965" w:rsidRPr="00CB2814" w:rsidTr="002A4A05"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1.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provenite din vînzarea biletelor de odihnă în taberele sportive, de întremare şi odihnă subordonate unităţilor/</w:t>
            </w:r>
          </w:p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instituţiilor militare 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Comercializarea biletelor de odihnă în taberele sportive, de întremare şi odihnă subordonate unităţilor/</w:t>
            </w:r>
          </w:p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instituţiilor militare 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Tarifele se stabilesc anual, prin hotărîre de Guvern</w:t>
            </w:r>
          </w:p>
        </w:tc>
      </w:tr>
      <w:tr w:rsidR="00EF0965" w:rsidRPr="003619AA" w:rsidTr="002A4A05"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2.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provenite din activitatea culturală: prezentări artistice, lecţii, serate etc.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Activitatea artistică, contra plată, a orchestrelor unităţilor militare ale Armatei Naţionale în cadrul prezentărilor artistice, seratelor şi altor activităţi culturale</w:t>
            </w:r>
          </w:p>
        </w:tc>
        <w:tc>
          <w:tcPr>
            <w:tcW w:w="1288" w:type="pct"/>
            <w:hideMark/>
          </w:tcPr>
          <w:p w:rsidR="00EF0965" w:rsidRPr="003619AA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3619AA">
              <w:rPr>
                <w:rFonts w:eastAsia="Calibri"/>
                <w:sz w:val="24"/>
                <w:szCs w:val="24"/>
                <w:lang w:val="ro-RO"/>
              </w:rPr>
              <w:t>Tarifele sînt aprobate în conformitate cu</w:t>
            </w:r>
            <w:r w:rsidRPr="003619AA">
              <w:rPr>
                <w:sz w:val="24"/>
                <w:szCs w:val="24"/>
                <w:lang w:val="ro-RO" w:eastAsia="ru-RU"/>
              </w:rPr>
              <w:t xml:space="preserve"> Metodologia de calculare a tarifelor la serviciile prestate contra plată de către unitățile/instituțiile militare din subordinea Ministerul Apărării,</w:t>
            </w:r>
            <w:r w:rsidRPr="003619AA">
              <w:rPr>
                <w:rFonts w:eastAsia="Calibri"/>
                <w:sz w:val="24"/>
                <w:szCs w:val="24"/>
                <w:lang w:val="ro-RO"/>
              </w:rPr>
              <w:t xml:space="preserve"> prevăzută în anexa nr.3 </w:t>
            </w:r>
          </w:p>
        </w:tc>
      </w:tr>
      <w:tr w:rsidR="00EF0965" w:rsidRPr="00CB2814" w:rsidTr="002A4A05">
        <w:trPr>
          <w:trHeight w:val="2682"/>
        </w:trPr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3.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  <w:r>
              <w:rPr>
                <w:bCs/>
                <w:sz w:val="24"/>
                <w:szCs w:val="24"/>
                <w:lang w:val="ro-RO" w:eastAsia="ru-RU"/>
              </w:rPr>
              <w:t>Venituri</w:t>
            </w:r>
            <w:r w:rsidRPr="00CB2814">
              <w:rPr>
                <w:bCs/>
                <w:sz w:val="24"/>
                <w:szCs w:val="24"/>
                <w:lang w:val="ro-RO" w:eastAsia="ru-RU"/>
              </w:rPr>
              <w:t xml:space="preserve"> provenite d</w:t>
            </w:r>
            <w:r>
              <w:rPr>
                <w:bCs/>
                <w:sz w:val="24"/>
                <w:szCs w:val="24"/>
                <w:lang w:val="ro-RO" w:eastAsia="ru-RU"/>
              </w:rPr>
              <w:t>in</w:t>
            </w:r>
            <w:r w:rsidRPr="00CB2814">
              <w:rPr>
                <w:bCs/>
                <w:sz w:val="24"/>
                <w:szCs w:val="24"/>
                <w:lang w:val="ro-RO" w:eastAsia="ru-RU"/>
              </w:rPr>
              <w:t xml:space="preserve"> serviciile prestate </w:t>
            </w:r>
            <w:r>
              <w:rPr>
                <w:bCs/>
                <w:sz w:val="24"/>
                <w:szCs w:val="24"/>
                <w:lang w:val="ro-RO" w:eastAsia="ru-RU"/>
              </w:rPr>
              <w:t>pentru</w:t>
            </w:r>
            <w:r w:rsidRPr="00CB2814">
              <w:rPr>
                <w:bCs/>
                <w:sz w:val="24"/>
                <w:szCs w:val="24"/>
                <w:lang w:val="ro-RO" w:eastAsia="ru-RU"/>
              </w:rPr>
              <w:t xml:space="preserve"> obținerea studiilor superioare de master</w:t>
            </w:r>
            <w:r w:rsidRPr="00124E2C">
              <w:rPr>
                <w:rFonts w:eastAsia="Calibri"/>
                <w:sz w:val="24"/>
                <w:szCs w:val="24"/>
                <w:lang w:val="ro-RO"/>
              </w:rPr>
              <w:t>(ciclul II)</w:t>
            </w:r>
            <w:r w:rsidRPr="00124E2C">
              <w:rPr>
                <w:bCs/>
                <w:sz w:val="24"/>
                <w:szCs w:val="24"/>
                <w:lang w:val="ro-RO" w:eastAsia="ru-RU"/>
              </w:rPr>
              <w:t>,</w:t>
            </w:r>
            <w:r w:rsidRPr="00CB2814">
              <w:rPr>
                <w:bCs/>
                <w:sz w:val="24"/>
                <w:szCs w:val="24"/>
                <w:lang w:val="ro-RO" w:eastAsia="ru-RU"/>
              </w:rPr>
              <w:t xml:space="preserve"> studiilor superioare de doctorat </w:t>
            </w:r>
            <w:r>
              <w:rPr>
                <w:bCs/>
                <w:sz w:val="24"/>
                <w:szCs w:val="24"/>
                <w:lang w:val="ro-RO" w:eastAsia="ru-RU"/>
              </w:rPr>
              <w:t xml:space="preserve">(ciclul III) </w:t>
            </w:r>
            <w:r w:rsidRPr="00CB2814">
              <w:rPr>
                <w:bCs/>
                <w:sz w:val="24"/>
                <w:szCs w:val="24"/>
                <w:lang w:val="ro-RO" w:eastAsia="ru-RU"/>
              </w:rPr>
              <w:t xml:space="preserve">şi </w:t>
            </w:r>
            <w:r>
              <w:rPr>
                <w:bCs/>
                <w:sz w:val="24"/>
                <w:szCs w:val="24"/>
                <w:lang w:val="ro-RO" w:eastAsia="ru-RU"/>
              </w:rPr>
              <w:t xml:space="preserve">a </w:t>
            </w:r>
            <w:r w:rsidRPr="00CB2814">
              <w:rPr>
                <w:bCs/>
                <w:sz w:val="24"/>
                <w:szCs w:val="24"/>
                <w:lang w:val="ro-RO" w:eastAsia="ru-RU"/>
              </w:rPr>
              <w:t>cursuri</w:t>
            </w:r>
            <w:r>
              <w:rPr>
                <w:bCs/>
                <w:sz w:val="24"/>
                <w:szCs w:val="24"/>
                <w:lang w:val="ro-RO" w:eastAsia="ru-RU"/>
              </w:rPr>
              <w:t>lor</w:t>
            </w:r>
            <w:r w:rsidRPr="00CB2814">
              <w:rPr>
                <w:bCs/>
                <w:sz w:val="24"/>
                <w:szCs w:val="24"/>
                <w:lang w:val="ro-RO" w:eastAsia="ru-RU"/>
              </w:rPr>
              <w:t xml:space="preserve"> de instruire militară 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0C3235">
              <w:rPr>
                <w:sz w:val="24"/>
                <w:szCs w:val="24"/>
                <w:lang w:val="ro-RO" w:eastAsia="ru-RU"/>
              </w:rPr>
              <w:t>Instruirea prin intermediul studiilor superioare</w:t>
            </w:r>
            <w:r w:rsidRPr="00CB2814">
              <w:rPr>
                <w:sz w:val="24"/>
                <w:szCs w:val="24"/>
                <w:lang w:val="ro-RO" w:eastAsia="ru-RU"/>
              </w:rPr>
              <w:t xml:space="preserve"> de master, studii</w:t>
            </w:r>
            <w:r>
              <w:rPr>
                <w:sz w:val="24"/>
                <w:szCs w:val="24"/>
                <w:lang w:val="ro-RO" w:eastAsia="ru-RU"/>
              </w:rPr>
              <w:t>lor superioare de doctorat şi</w:t>
            </w:r>
            <w:r w:rsidRPr="00124E2C">
              <w:rPr>
                <w:sz w:val="24"/>
                <w:szCs w:val="24"/>
                <w:lang w:val="ro-RO" w:eastAsia="ru-RU"/>
              </w:rPr>
              <w:t>cursurilor de instruire militară</w:t>
            </w:r>
            <w:r w:rsidRPr="00CB2814">
              <w:rPr>
                <w:sz w:val="24"/>
                <w:szCs w:val="24"/>
                <w:lang w:val="ro-RO" w:eastAsia="ru-RU"/>
              </w:rPr>
              <w:t xml:space="preserve"> a studenţilor </w:t>
            </w:r>
            <w:r>
              <w:rPr>
                <w:sz w:val="24"/>
                <w:szCs w:val="24"/>
                <w:lang w:val="ro-RO" w:eastAsia="ru-RU"/>
              </w:rPr>
              <w:t>pe</w:t>
            </w:r>
            <w:r w:rsidRPr="00CB2814">
              <w:rPr>
                <w:sz w:val="24"/>
                <w:szCs w:val="24"/>
                <w:lang w:val="ro-RO" w:eastAsia="ru-RU"/>
              </w:rPr>
              <w:t xml:space="preserve"> bază de contract la catedra militară a Academiei Militare a Forţelor Armate „Alexandru cel Bun” şi </w:t>
            </w:r>
            <w:r>
              <w:rPr>
                <w:sz w:val="24"/>
                <w:szCs w:val="24"/>
                <w:lang w:val="ro-RO" w:eastAsia="ru-RU"/>
              </w:rPr>
              <w:t xml:space="preserve">la </w:t>
            </w:r>
            <w:r w:rsidRPr="00CB2814">
              <w:rPr>
                <w:sz w:val="24"/>
                <w:szCs w:val="24"/>
                <w:lang w:val="ro-RO" w:eastAsia="ru-RU"/>
              </w:rPr>
              <w:t>catedrele milita</w:t>
            </w:r>
            <w:r>
              <w:rPr>
                <w:sz w:val="24"/>
                <w:szCs w:val="24"/>
                <w:lang w:val="ro-RO" w:eastAsia="ru-RU"/>
              </w:rPr>
              <w:t>re ale instituţiilor de învăţămî</w:t>
            </w:r>
            <w:r w:rsidRPr="00CB2814">
              <w:rPr>
                <w:sz w:val="24"/>
                <w:szCs w:val="24"/>
                <w:lang w:val="ro-RO" w:eastAsia="ru-RU"/>
              </w:rPr>
              <w:t xml:space="preserve">nt superior, </w:t>
            </w:r>
            <w:r>
              <w:rPr>
                <w:sz w:val="24"/>
                <w:szCs w:val="24"/>
                <w:lang w:val="ro-RO" w:eastAsia="ru-RU"/>
              </w:rPr>
              <w:t>a cursurilor de</w:t>
            </w:r>
            <w:r w:rsidRPr="00124E2C">
              <w:rPr>
                <w:sz w:val="24"/>
                <w:szCs w:val="24"/>
                <w:lang w:val="ro-RO" w:eastAsia="ru-RU"/>
              </w:rPr>
              <w:t xml:space="preserve">trageri </w:t>
            </w:r>
            <w:r>
              <w:rPr>
                <w:sz w:val="24"/>
                <w:szCs w:val="24"/>
                <w:lang w:val="ro-RO" w:eastAsia="ru-RU"/>
              </w:rPr>
              <w:t>în</w:t>
            </w:r>
            <w:r w:rsidRPr="00124E2C">
              <w:rPr>
                <w:sz w:val="24"/>
                <w:szCs w:val="24"/>
                <w:lang w:val="ro-RO" w:eastAsia="ru-RU"/>
              </w:rPr>
              <w:t xml:space="preserve"> tiruri, cursurilor de instruire a sportivilor,</w:t>
            </w:r>
            <w:r w:rsidRPr="00124E2C">
              <w:rPr>
                <w:bCs/>
                <w:sz w:val="24"/>
                <w:szCs w:val="24"/>
                <w:lang w:val="ro-RO" w:eastAsia="ru-RU"/>
              </w:rPr>
              <w:t xml:space="preserve"> desfășurate de Clubul Sportiv Central al Armatei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Tarifele sî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nt aprobate în conformitate cu</w:t>
            </w:r>
            <w:r w:rsidRPr="003619AA">
              <w:rPr>
                <w:sz w:val="24"/>
                <w:szCs w:val="24"/>
                <w:lang w:val="ro-RO" w:eastAsia="ru-RU"/>
              </w:rPr>
              <w:t xml:space="preserve"> Metodologia de calculare a tarifelor la serviciile prestate contra plată de către unitățile/instituțiile militare din subordinea Ministerul Apărării</w:t>
            </w:r>
            <w:r w:rsidRPr="00CB2814">
              <w:rPr>
                <w:sz w:val="24"/>
                <w:szCs w:val="24"/>
                <w:lang w:val="ro-RO" w:eastAsia="ru-RU"/>
              </w:rPr>
              <w:t>,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prevăzută în anexa nr.3</w:t>
            </w:r>
          </w:p>
        </w:tc>
      </w:tr>
      <w:tr w:rsidR="00EF0965" w:rsidRPr="00CB2814" w:rsidTr="002A4A05"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4.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provenite din taxa de intrare la muzee şi expoziţii, 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din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plăţile pentru organizarea excursiilor şi 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din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alte activităţi de profil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Vizitarea muzeelor și expozițiilor, organizarea excursiilor şi 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a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altor activităţi de profil, cu plată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P</w:t>
            </w: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>rețurile și tarifele pentru serviciile oferite de muzeele publices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î</w:t>
            </w: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>nt stabilite de Guvern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>,</w:t>
            </w: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>c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onform art.18 </w:t>
            </w:r>
            <w:r>
              <w:rPr>
                <w:rFonts w:eastAsia="Calibri"/>
                <w:sz w:val="24"/>
                <w:szCs w:val="24"/>
                <w:lang w:val="ro-RO"/>
              </w:rPr>
              <w:lastRenderedPageBreak/>
              <w:t>din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Leg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ea muzeelor nr.262 din 7 decembrie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2017</w:t>
            </w: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>, iar pentru alte servicii prevăzute la acest tip de venituri colectate,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tarifele sî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nt aprobate în conformitate cu</w:t>
            </w:r>
            <w:r w:rsidRPr="003619AA">
              <w:rPr>
                <w:sz w:val="24"/>
                <w:szCs w:val="24"/>
                <w:lang w:val="ro-RO" w:eastAsia="ru-RU"/>
              </w:rPr>
              <w:t xml:space="preserve"> Metodologia de calculare a tarifelor la serviciile prestate contra plată de către unitățile/instituțiile militare din subordinea Ministerul Apărării</w:t>
            </w:r>
            <w:r w:rsidRPr="00CB2814">
              <w:rPr>
                <w:sz w:val="24"/>
                <w:szCs w:val="24"/>
                <w:lang w:val="ro-RO" w:eastAsia="ru-RU"/>
              </w:rPr>
              <w:t>,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prevăzută în anexa nr.3</w:t>
            </w:r>
          </w:p>
        </w:tc>
      </w:tr>
      <w:tr w:rsidR="00EF0965" w:rsidRPr="00CB2814" w:rsidTr="002A4A05"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21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 provenite din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pres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tarea serviciilor medicale şi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serviciilor înrudite cu cele medicale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22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Acordarea serviciilor medicale şi serviciilor înrudite cu cele medicale de către instituţiile medico-militare 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din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subord</w:t>
            </w:r>
            <w:r>
              <w:rPr>
                <w:rFonts w:eastAsia="Calibri"/>
                <w:sz w:val="24"/>
                <w:szCs w:val="24"/>
                <w:lang w:val="ro-RO"/>
              </w:rPr>
              <w:t>inea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Ministerului Apărării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Tarifele pentru serviciile </w:t>
            </w:r>
            <w:r w:rsidRPr="00740420">
              <w:rPr>
                <w:rFonts w:eastAsia="Calibri"/>
                <w:sz w:val="24"/>
                <w:szCs w:val="24"/>
                <w:lang w:val="ro-RO"/>
              </w:rPr>
              <w:t>medico-sanitare aco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rdate de către instituţiile </w:t>
            </w:r>
            <w:r w:rsidRPr="00124E2C">
              <w:rPr>
                <w:rFonts w:eastAsia="Calibri"/>
                <w:sz w:val="24"/>
                <w:szCs w:val="24"/>
                <w:lang w:val="ro-RO"/>
              </w:rPr>
              <w:t>medico-sanitare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publice</w:t>
            </w:r>
            <w:r>
              <w:rPr>
                <w:rFonts w:eastAsia="Calibri"/>
                <w:sz w:val="24"/>
                <w:szCs w:val="24"/>
                <w:lang w:val="ro-RO"/>
              </w:rPr>
              <w:t>sînt stabilite prin Hotărî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rea Guvernului nr.</w:t>
            </w: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>1020 din 29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 decembrie </w:t>
            </w: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>2011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 „Cu privire la tarifele pentru serviciile medico-sanitare”</w:t>
            </w:r>
          </w:p>
        </w:tc>
      </w:tr>
      <w:tr w:rsidR="00EF0965" w:rsidRPr="00CB2814" w:rsidTr="002A4A05"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6.</w:t>
            </w:r>
          </w:p>
        </w:tc>
        <w:tc>
          <w:tcPr>
            <w:tcW w:w="1724" w:type="pct"/>
            <w:hideMark/>
          </w:tcPr>
          <w:p w:rsidR="00EF0965" w:rsidRPr="00124E2C" w:rsidRDefault="00EF0965" w:rsidP="002A4A05">
            <w:pPr>
              <w:tabs>
                <w:tab w:val="left" w:pos="10065"/>
              </w:tabs>
              <w:ind w:left="3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</w:t>
            </w:r>
            <w:r w:rsidRPr="00124E2C">
              <w:rPr>
                <w:rFonts w:eastAsia="Calibri"/>
                <w:sz w:val="24"/>
                <w:szCs w:val="24"/>
                <w:lang w:val="ro-RO"/>
              </w:rPr>
              <w:t xml:space="preserve"> provenite din activitatea farmaciilor din cadrul instituţiilor medicale</w:t>
            </w:r>
          </w:p>
        </w:tc>
        <w:tc>
          <w:tcPr>
            <w:tcW w:w="1631" w:type="pct"/>
            <w:hideMark/>
          </w:tcPr>
          <w:p w:rsidR="00EF0965" w:rsidRPr="00124E2C" w:rsidRDefault="00EF0965" w:rsidP="002A4A05">
            <w:pPr>
              <w:tabs>
                <w:tab w:val="left" w:pos="10065"/>
              </w:tabs>
              <w:ind w:left="1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124E2C">
              <w:rPr>
                <w:rFonts w:eastAsia="Calibri"/>
                <w:sz w:val="24"/>
                <w:szCs w:val="24"/>
                <w:lang w:val="ro-RO"/>
              </w:rPr>
              <w:t xml:space="preserve">Comercializarea medicamentelor şi a altor produse farmaceutice și parafarmaceutice de către instituţiile medico-militare ale Armatei Naționale, prin intermediul filialelor farmaciilor din cadrul acestor instituţii 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bCs/>
                <w:color w:val="000000"/>
                <w:sz w:val="24"/>
                <w:szCs w:val="24"/>
                <w:lang w:val="ro-RO" w:eastAsia="ru-RU"/>
              </w:rPr>
            </w:pP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Preţurile la medicamente şi </w:t>
            </w:r>
            <w:r>
              <w:rPr>
                <w:rFonts w:eastAsia="Calibri"/>
                <w:color w:val="000000"/>
                <w:sz w:val="24"/>
                <w:szCs w:val="24"/>
                <w:lang w:val="ro-RO"/>
              </w:rPr>
              <w:t xml:space="preserve">la </w:t>
            </w:r>
            <w:r w:rsidRPr="00CB2814">
              <w:rPr>
                <w:rFonts w:eastAsia="Calibri"/>
                <w:color w:val="000000"/>
                <w:sz w:val="24"/>
                <w:szCs w:val="24"/>
                <w:lang w:val="ro-RO"/>
              </w:rPr>
              <w:t>alte produse farmaceutice şi parafarmaceutice  se stabilesc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conform </w:t>
            </w:r>
            <w:r w:rsidRPr="00CB2814">
              <w:rPr>
                <w:bCs/>
                <w:color w:val="000000"/>
                <w:sz w:val="24"/>
                <w:szCs w:val="24"/>
                <w:lang w:val="ro-RO" w:eastAsia="ru-RU"/>
              </w:rPr>
              <w:t>Regulamentu</w:t>
            </w:r>
            <w:r>
              <w:rPr>
                <w:bCs/>
                <w:color w:val="000000"/>
                <w:sz w:val="24"/>
                <w:szCs w:val="24"/>
                <w:lang w:val="ro-RO" w:eastAsia="ru-RU"/>
              </w:rPr>
              <w:t xml:space="preserve">lui privind formarea preţurilor </w:t>
            </w:r>
            <w:r w:rsidRPr="00CB2814">
              <w:rPr>
                <w:bCs/>
                <w:color w:val="000000"/>
                <w:sz w:val="24"/>
                <w:szCs w:val="24"/>
                <w:lang w:val="ro-RO" w:eastAsia="ru-RU"/>
              </w:rPr>
              <w:t>la medicamente şi alte produse farmaceutice şi parafarmaceutice</w:t>
            </w:r>
            <w:r>
              <w:rPr>
                <w:rFonts w:eastAsia="Calibri"/>
                <w:sz w:val="24"/>
                <w:szCs w:val="24"/>
                <w:lang w:val="ro-RO"/>
              </w:rPr>
              <w:t>, aprobat prin Hotărî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rea Guvernului nr. 603 din 2 iulie 1997</w:t>
            </w:r>
          </w:p>
        </w:tc>
      </w:tr>
      <w:tr w:rsidR="00EF0965" w:rsidRPr="00CB2814" w:rsidTr="002A4A05">
        <w:trPr>
          <w:trHeight w:val="373"/>
        </w:trPr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7.</w:t>
            </w:r>
          </w:p>
        </w:tc>
        <w:tc>
          <w:tcPr>
            <w:tcW w:w="1724" w:type="pct"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provenite </w:t>
            </w:r>
            <w:r>
              <w:rPr>
                <w:rFonts w:eastAsia="Calibri"/>
                <w:sz w:val="24"/>
                <w:szCs w:val="24"/>
                <w:lang w:val="ro-RO"/>
              </w:rPr>
              <w:t>din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dare</w:t>
            </w:r>
            <w:r>
              <w:rPr>
                <w:rFonts w:eastAsia="Calibri"/>
                <w:sz w:val="24"/>
                <w:szCs w:val="24"/>
                <w:lang w:val="ro-RO"/>
              </w:rPr>
              <w:t>a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în locațiune a activelor neutilizate </w:t>
            </w:r>
          </w:p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Darea în locaţiune a utilajului, 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a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încăperilor, mijloacelor de transport, parcărilor şi altor fonduri fixe conform contractelor încheiate cu diferiţi </w:t>
            </w:r>
            <w:r w:rsidRPr="00124E2C">
              <w:rPr>
                <w:rFonts w:eastAsia="Calibri"/>
                <w:sz w:val="24"/>
                <w:szCs w:val="24"/>
                <w:lang w:val="ro-RO"/>
              </w:rPr>
              <w:t>agenţi economici, persoane fizice</w:t>
            </w:r>
            <w:r w:rsidRPr="000C3235">
              <w:rPr>
                <w:rFonts w:eastAsia="Calibri"/>
                <w:sz w:val="24"/>
                <w:szCs w:val="24"/>
                <w:lang w:val="ro-RO"/>
              </w:rPr>
              <w:t>(locatori),</w:t>
            </w:r>
            <w:r w:rsidRPr="00124E2C">
              <w:rPr>
                <w:rFonts w:eastAsia="Calibri"/>
                <w:sz w:val="24"/>
                <w:szCs w:val="24"/>
                <w:lang w:val="ro-RO"/>
              </w:rPr>
              <w:t xml:space="preserve"> prevăzute în</w:t>
            </w:r>
            <w:r>
              <w:rPr>
                <w:rFonts w:eastAsia="Calibri"/>
                <w:sz w:val="24"/>
                <w:szCs w:val="24"/>
                <w:lang w:val="ro-RO"/>
              </w:rPr>
              <w:t>Hotărî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rea Guvernului nr. 483 din </w:t>
            </w:r>
            <w:r>
              <w:rPr>
                <w:rFonts w:eastAsia="Calibri"/>
                <w:sz w:val="24"/>
                <w:szCs w:val="24"/>
                <w:lang w:val="ro-RO"/>
              </w:rPr>
              <w:br/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29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martie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2008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Tarifele pentru chirie sî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nt stabilite în conformi</w:t>
            </w:r>
            <w:r>
              <w:rPr>
                <w:rFonts w:eastAsia="Calibri"/>
                <w:sz w:val="24"/>
                <w:szCs w:val="24"/>
                <w:lang w:val="ro-RO"/>
              </w:rPr>
              <w:t>tate cu legea bugetului de stat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care se aprobă anual </w:t>
            </w:r>
          </w:p>
        </w:tc>
      </w:tr>
      <w:tr w:rsidR="00EF0965" w:rsidRPr="00CB2814" w:rsidTr="002A4A05">
        <w:trPr>
          <w:trHeight w:val="2379"/>
        </w:trPr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12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provenite din lucrările executate la tehnica de multiplicare,</w:t>
            </w:r>
            <w:r>
              <w:rPr>
                <w:rFonts w:eastAsia="Calibri"/>
                <w:sz w:val="24"/>
                <w:szCs w:val="24"/>
                <w:lang w:val="ro-RO"/>
              </w:rPr>
              <w:t xml:space="preserve"> din 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lucrările tipografice şi topografice 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Lucrări geodezice şi cartografice efectuate de unităţile militare (imprimarea hărţilor aeronautice, fotogramelor aeriene, precum şi modelarea suprafeţelor topografice în formă de set de documente)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Tarifele sî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>nt aprobate în conformitate cu</w:t>
            </w:r>
            <w:r w:rsidRPr="003619AA">
              <w:rPr>
                <w:sz w:val="24"/>
                <w:szCs w:val="24"/>
                <w:lang w:val="ro-RO" w:eastAsia="ru-RU"/>
              </w:rPr>
              <w:t xml:space="preserve"> Metodologia de calculare a tarifelor la serviciile prestate contra plată de către unitățile/instituțiile militare din subordinea Ministerul Apărării</w:t>
            </w:r>
            <w:r w:rsidRPr="00CB2814">
              <w:rPr>
                <w:sz w:val="24"/>
                <w:szCs w:val="24"/>
                <w:lang w:val="ro-RO" w:eastAsia="ru-RU"/>
              </w:rPr>
              <w:t>,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prevăzută în anexa nr.3</w:t>
            </w:r>
          </w:p>
        </w:tc>
      </w:tr>
      <w:tr w:rsidR="00EF0965" w:rsidRPr="00CB2814" w:rsidTr="002A4A05">
        <w:trPr>
          <w:trHeight w:val="3393"/>
        </w:trPr>
        <w:tc>
          <w:tcPr>
            <w:tcW w:w="357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3" w:firstLine="0"/>
              <w:jc w:val="center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9.</w:t>
            </w:r>
          </w:p>
        </w:tc>
        <w:tc>
          <w:tcPr>
            <w:tcW w:w="1724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3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sz w:val="24"/>
                <w:szCs w:val="24"/>
                <w:lang w:val="ro-RO"/>
              </w:rPr>
              <w:t>Venituri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provenite d</w:t>
            </w:r>
            <w:r>
              <w:rPr>
                <w:rFonts w:eastAsia="Calibri"/>
                <w:sz w:val="24"/>
                <w:szCs w:val="24"/>
                <w:lang w:val="ro-RO"/>
              </w:rPr>
              <w:t>in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exploatarea și întreținerea căminelor, blocurilor locative, hot</w:t>
            </w:r>
            <w:r>
              <w:rPr>
                <w:rFonts w:eastAsia="Calibri"/>
                <w:sz w:val="24"/>
                <w:szCs w:val="24"/>
                <w:lang w:val="ro-RO"/>
              </w:rPr>
              <w:t>elurilor subordonate unităţilor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/instituțiilor militare date în locațiune militarilor (angajaților civili) și membrilor lor de familie </w:t>
            </w:r>
          </w:p>
        </w:tc>
        <w:tc>
          <w:tcPr>
            <w:tcW w:w="1631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left="14"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Servicii de exploatare şi întreţinere a blocurilor locative, căminelor, hotelurilor din gestiunea unităţilor/instituţiilor militare, date în locațiune militarilor (angajaților civili) și membrilor lor de familie</w:t>
            </w:r>
            <w:r>
              <w:rPr>
                <w:rFonts w:eastAsia="Calibri"/>
                <w:sz w:val="24"/>
                <w:szCs w:val="24"/>
                <w:lang w:val="ro-RO"/>
              </w:rPr>
              <w:t>,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precum şi </w:t>
            </w:r>
            <w:r w:rsidRPr="000C3235">
              <w:rPr>
                <w:rFonts w:eastAsia="Calibri"/>
                <w:sz w:val="24"/>
                <w:szCs w:val="24"/>
                <w:lang w:val="ro-RO"/>
              </w:rPr>
              <w:t>din plata serviciilor comunale</w:t>
            </w:r>
          </w:p>
        </w:tc>
        <w:tc>
          <w:tcPr>
            <w:tcW w:w="1288" w:type="pct"/>
            <w:hideMark/>
          </w:tcPr>
          <w:p w:rsidR="00EF0965" w:rsidRPr="00CB2814" w:rsidRDefault="00EF0965" w:rsidP="002A4A05">
            <w:pPr>
              <w:tabs>
                <w:tab w:val="left" w:pos="10065"/>
              </w:tabs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CB2814">
              <w:rPr>
                <w:rFonts w:eastAsia="Calibri"/>
                <w:sz w:val="24"/>
                <w:szCs w:val="24"/>
                <w:lang w:val="ro-RO"/>
              </w:rPr>
              <w:t>Taxa unică pentru închirierea tuturor tipurilor de cămine este stabilită la nivelul taxei în vigoare pentru 1m</w:t>
            </w:r>
            <w:r w:rsidRPr="00CB2814">
              <w:rPr>
                <w:rFonts w:eastAsia="Calibri"/>
                <w:sz w:val="24"/>
                <w:szCs w:val="24"/>
                <w:vertAlign w:val="superscript"/>
                <w:lang w:val="ro-RO"/>
              </w:rPr>
              <w:t>2</w:t>
            </w:r>
            <w:r w:rsidRPr="00CB2814">
              <w:rPr>
                <w:rFonts w:eastAsia="Calibri"/>
                <w:sz w:val="24"/>
                <w:szCs w:val="24"/>
                <w:lang w:val="ro-RO"/>
              </w:rPr>
              <w:t xml:space="preserve"> de spaţiu locativ din casele fondului locativ de stat şi ale celui social. Plata pentru serviciile comunale prestate este stabilită conform tarifelor pentru populaţie în localitatea dată pentru anul respectiv</w:t>
            </w:r>
          </w:p>
        </w:tc>
      </w:tr>
    </w:tbl>
    <w:p w:rsidR="008750A6" w:rsidRDefault="008750A6"/>
    <w:sectPr w:rsidR="008750A6" w:rsidSect="00EF09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0965"/>
    <w:rsid w:val="008750A6"/>
    <w:rsid w:val="00EF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2">
    <w:name w:val="Grilă Tabel2"/>
    <w:basedOn w:val="TableNormal"/>
    <w:rsid w:val="00EF0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F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2018-07-23T07:56:00Z</dcterms:created>
  <dcterms:modified xsi:type="dcterms:W3CDTF">2018-07-23T07:56:00Z</dcterms:modified>
</cp:coreProperties>
</file>